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52C" w:rsidRPr="00BB152C" w:rsidRDefault="00B45E7C" w:rsidP="00902DE3">
      <w:pPr>
        <w:keepNext/>
      </w:pPr>
      <w:r>
        <w:rPr>
          <w:noProof/>
        </w:rPr>
        <w:drawing>
          <wp:inline distT="0" distB="0" distL="0" distR="0">
            <wp:extent cx="10071155" cy="6782462"/>
            <wp:effectExtent l="19050" t="0" r="2534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BB152C" w:rsidRPr="00BB152C" w:rsidSect="002864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8" w:right="536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AD1" w:rsidRDefault="00F65AD1" w:rsidP="00587DC9">
      <w:pPr>
        <w:spacing w:after="0" w:line="240" w:lineRule="auto"/>
      </w:pPr>
      <w:r>
        <w:separator/>
      </w:r>
    </w:p>
  </w:endnote>
  <w:endnote w:type="continuationSeparator" w:id="1">
    <w:p w:rsidR="00F65AD1" w:rsidRDefault="00F65AD1" w:rsidP="00587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DC9" w:rsidRDefault="00587DC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DC9" w:rsidRDefault="00587DC9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DC9" w:rsidRDefault="00587DC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AD1" w:rsidRDefault="00F65AD1" w:rsidP="00587DC9">
      <w:pPr>
        <w:spacing w:after="0" w:line="240" w:lineRule="auto"/>
      </w:pPr>
      <w:r>
        <w:separator/>
      </w:r>
    </w:p>
  </w:footnote>
  <w:footnote w:type="continuationSeparator" w:id="1">
    <w:p w:rsidR="00F65AD1" w:rsidRDefault="00F65AD1" w:rsidP="00587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DC9" w:rsidRDefault="00587DC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DC9" w:rsidRDefault="00587DC9" w:rsidP="00587DC9">
    <w:pPr>
      <w:pStyle w:val="a6"/>
      <w:jc w:val="right"/>
    </w:pPr>
    <w:r>
      <w:t>Приложение 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DC9" w:rsidRDefault="00587DC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5E7C"/>
    <w:rsid w:val="00077684"/>
    <w:rsid w:val="00086B62"/>
    <w:rsid w:val="00087308"/>
    <w:rsid w:val="00164982"/>
    <w:rsid w:val="001E6E9E"/>
    <w:rsid w:val="00227DC6"/>
    <w:rsid w:val="002864E6"/>
    <w:rsid w:val="002C4CE8"/>
    <w:rsid w:val="00383556"/>
    <w:rsid w:val="003F7960"/>
    <w:rsid w:val="005347A2"/>
    <w:rsid w:val="00587DC9"/>
    <w:rsid w:val="005F5732"/>
    <w:rsid w:val="00646BA2"/>
    <w:rsid w:val="007366BC"/>
    <w:rsid w:val="0074690B"/>
    <w:rsid w:val="00762CDB"/>
    <w:rsid w:val="007921AA"/>
    <w:rsid w:val="00862DD5"/>
    <w:rsid w:val="00902296"/>
    <w:rsid w:val="00902DE3"/>
    <w:rsid w:val="00973925"/>
    <w:rsid w:val="00973EED"/>
    <w:rsid w:val="00983D33"/>
    <w:rsid w:val="00A736AA"/>
    <w:rsid w:val="00A75597"/>
    <w:rsid w:val="00A840E0"/>
    <w:rsid w:val="00A86240"/>
    <w:rsid w:val="00AE2FC9"/>
    <w:rsid w:val="00B33F5B"/>
    <w:rsid w:val="00B45E7C"/>
    <w:rsid w:val="00B55E84"/>
    <w:rsid w:val="00B5784A"/>
    <w:rsid w:val="00B85120"/>
    <w:rsid w:val="00B957A2"/>
    <w:rsid w:val="00BA55E0"/>
    <w:rsid w:val="00BB152C"/>
    <w:rsid w:val="00BB3A66"/>
    <w:rsid w:val="00C17A3E"/>
    <w:rsid w:val="00CA0B47"/>
    <w:rsid w:val="00CD4E70"/>
    <w:rsid w:val="00DD47FC"/>
    <w:rsid w:val="00E26A89"/>
    <w:rsid w:val="00E6022D"/>
    <w:rsid w:val="00F01B11"/>
    <w:rsid w:val="00F65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5E7C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CA0B4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587D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87DC9"/>
  </w:style>
  <w:style w:type="paragraph" w:styleId="a8">
    <w:name w:val="footer"/>
    <w:basedOn w:val="a"/>
    <w:link w:val="a9"/>
    <w:uiPriority w:val="99"/>
    <w:semiHidden/>
    <w:unhideWhenUsed/>
    <w:rsid w:val="00587D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87D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4"/>
  <c:chart>
    <c:title>
      <c:tx>
        <c:rich>
          <a:bodyPr/>
          <a:lstStyle/>
          <a:p>
            <a:pPr>
              <a:defRPr sz="1700" baseline="0"/>
            </a:pPr>
            <a:r>
              <a:rPr lang="ru-RU" sz="1700" baseline="0"/>
              <a:t>Мониторинг уровня удовлетворенности населения качеством оказания муниципальных услуг (выполнения работ) города Ханты-Мансийска за 2013 год</a:t>
            </a:r>
          </a:p>
        </c:rich>
      </c:tx>
    </c:title>
    <c:view3D>
      <c:rAngAx val="1"/>
    </c:view3D>
    <c:plotArea>
      <c:layout>
        <c:manualLayout>
          <c:layoutTarget val="inner"/>
          <c:xMode val="edge"/>
          <c:yMode val="edge"/>
          <c:x val="5.0441086449369505E-3"/>
          <c:y val="0.66284602847756502"/>
          <c:w val="0.99495589135506302"/>
          <c:h val="0.33121202890631751"/>
        </c:manualLayout>
      </c:layout>
      <c:bar3DChart>
        <c:barDir val="col"/>
        <c:grouping val="clustered"/>
        <c:ser>
          <c:idx val="0"/>
          <c:order val="0"/>
          <c:tx>
            <c:strRef>
              <c:f>Лист1!$A$1</c:f>
              <c:strCache>
                <c:ptCount val="1"/>
                <c:pt idx="0">
                  <c:v>Реализация основной общеобразовательной программы дошкольного образования в дошкольных учреждениях</c:v>
                </c:pt>
              </c:strCache>
            </c:strRef>
          </c:tx>
          <c:dLbls>
            <c:dLbl>
              <c:idx val="0"/>
              <c:layout>
                <c:manualLayout>
                  <c:x val="-2.522054322468477E-3"/>
                  <c:y val="5.2429339080705496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92,9</a:t>
                    </a:r>
                    <a:r>
                      <a:rPr lang="ru-RU" b="1" i="0" baseline="0"/>
                      <a:t>%</a:t>
                    </a:r>
                    <a:endParaRPr lang="en-US" b="1" i="0" baseline="0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Лист1!$A$2</c:f>
              <c:numCache>
                <c:formatCode>General</c:formatCode>
                <c:ptCount val="1"/>
                <c:pt idx="0">
                  <c:v>92.9</c:v>
                </c:pt>
              </c:numCache>
            </c:numRef>
          </c:val>
        </c:ser>
        <c:ser>
          <c:idx val="1"/>
          <c:order val="1"/>
          <c:tx>
            <c:strRef>
              <c:f>Лист1!$B$1</c:f>
              <c:strCache>
                <c:ptCount val="1"/>
                <c:pt idx="0">
                  <c:v>Реализация основных общеобразовательных программ на уровнях начального общего, основного общего, среднего (полного) общего образования в общеобразовательных учреждениях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5.242933908070549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97,1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Лист1!$B$2</c:f>
              <c:numCache>
                <c:formatCode>General</c:formatCode>
                <c:ptCount val="1"/>
                <c:pt idx="0">
                  <c:v>97.1</c:v>
                </c:pt>
              </c:numCache>
            </c:numRef>
          </c:val>
        </c:ser>
        <c:ser>
          <c:idx val="2"/>
          <c:order val="2"/>
          <c:tx>
            <c:strRef>
              <c:f>Лист1!$C$1</c:f>
              <c:strCache>
                <c:ptCount val="1"/>
                <c:pt idx="0">
                  <c:v>Реализация программ дополнительного образования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4.49394334977475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98,9</a:t>
                    </a:r>
                    <a:r>
                      <a:rPr lang="ru-RU"/>
                      <a:t>%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Лист1!$C$2</c:f>
              <c:numCache>
                <c:formatCode>General</c:formatCode>
                <c:ptCount val="1"/>
                <c:pt idx="0">
                  <c:v>98.9</c:v>
                </c:pt>
              </c:numCache>
            </c:numRef>
          </c:val>
        </c:ser>
        <c:ser>
          <c:idx val="3"/>
          <c:order val="3"/>
          <c:tx>
            <c:strRef>
              <c:f>Лист1!$D$1</c:f>
              <c:strCache>
                <c:ptCount val="1"/>
                <c:pt idx="0">
                  <c:v>Организация отдыха детей в каникулярное время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3.5577051519050183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100</a:t>
                    </a:r>
                    <a:r>
                      <a:rPr lang="ru-RU" b="1" i="0" baseline="0"/>
                      <a:t>,0%</a:t>
                    </a:r>
                    <a:endParaRPr lang="en-US" b="1" i="0" baseline="0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Лист1!$D$2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4"/>
          <c:order val="4"/>
          <c:tx>
            <c:strRef>
              <c:f>Лист1!$E$1</c:f>
              <c:strCache>
                <c:ptCount val="1"/>
                <c:pt idx="0">
                  <c:v>Предоставление учащимся муниципальных бюджетных общеобразовательных учреждений завтраков и обедов</c:v>
                </c:pt>
              </c:strCache>
            </c:strRef>
          </c:tx>
          <c:dLbls>
            <c:dLbl>
              <c:idx val="0"/>
              <c:layout>
                <c:manualLayout>
                  <c:x val="-9.9293477262538442E-8"/>
                  <c:y val="4.3066957102008099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95</a:t>
                    </a:r>
                    <a:r>
                      <a:rPr lang="ru-RU" b="1" i="0" baseline="0"/>
                      <a:t>,0%</a:t>
                    </a:r>
                    <a:endParaRPr lang="en-US" b="1" i="0" baseline="0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Лист1!$E$2</c:f>
              <c:numCache>
                <c:formatCode>General</c:formatCode>
                <c:ptCount val="1"/>
                <c:pt idx="0">
                  <c:v>95</c:v>
                </c:pt>
              </c:numCache>
            </c:numRef>
          </c:val>
        </c:ser>
        <c:ser>
          <c:idx val="5"/>
          <c:order val="5"/>
          <c:tx>
            <c:strRef>
              <c:f>Лист1!$F$1</c:f>
              <c:strCache>
                <c:ptCount val="1"/>
                <c:pt idx="0">
                  <c:v>Организация культурного досуга населения на базе учреждений и организаций культуры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3.744952791478965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100</a:t>
                    </a:r>
                    <a:r>
                      <a:rPr lang="ru-RU" b="1" i="0" baseline="0"/>
                      <a:t>,0%</a:t>
                    </a:r>
                    <a:endParaRPr lang="en-US" b="1" i="0" baseline="0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Лист1!$F$2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6"/>
          <c:order val="6"/>
          <c:tx>
            <c:strRef>
              <c:f>Лист1!$G$1</c:f>
              <c:strCache>
                <c:ptCount val="1"/>
                <c:pt idx="0">
                  <c:v>Библиотечное обслуживание</c:v>
                </c:pt>
              </c:strCache>
            </c:strRef>
          </c:tx>
          <c:dLbls>
            <c:dLbl>
              <c:idx val="0"/>
              <c:layout>
                <c:manualLayout>
                  <c:x val="-2.522054322468477E-3"/>
                  <c:y val="4.1194480706268612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81,8</a:t>
                    </a:r>
                    <a:r>
                      <a:rPr lang="ru-RU" b="1" i="0" baseline="0"/>
                      <a:t>%</a:t>
                    </a:r>
                    <a:endParaRPr lang="en-US" b="1" i="0" baseline="0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Лист1!$G$2</c:f>
              <c:numCache>
                <c:formatCode>General</c:formatCode>
                <c:ptCount val="1"/>
                <c:pt idx="0">
                  <c:v>81.8</c:v>
                </c:pt>
              </c:numCache>
            </c:numRef>
          </c:val>
        </c:ser>
        <c:ser>
          <c:idx val="7"/>
          <c:order val="7"/>
          <c:tx>
            <c:strRef>
              <c:f>Лист1!$H$1</c:f>
              <c:strCache>
                <c:ptCount val="1"/>
                <c:pt idx="0">
                  <c:v>Информирование жителей города о деятельности органов местного самоуправления города Ханты-Мансийска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4.306695710200812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94,5</a:t>
                    </a:r>
                    <a:r>
                      <a:rPr lang="ru-RU" b="1" i="0" baseline="0"/>
                      <a:t>%</a:t>
                    </a:r>
                    <a:endParaRPr lang="en-US" b="1" i="0" baseline="0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Лист1!$H$2</c:f>
              <c:numCache>
                <c:formatCode>General</c:formatCode>
                <c:ptCount val="1"/>
                <c:pt idx="0">
                  <c:v>94.5</c:v>
                </c:pt>
              </c:numCache>
            </c:numRef>
          </c:val>
        </c:ser>
        <c:ser>
          <c:idx val="8"/>
          <c:order val="8"/>
          <c:tx>
            <c:strRef>
              <c:f>Лист1!$I$1</c:f>
              <c:strCache>
                <c:ptCount val="1"/>
                <c:pt idx="0">
                  <c:v>Муниципальная услуга в сфере развития туризма и внешних связей</c:v>
                </c:pt>
              </c:strCache>
            </c:strRef>
          </c:tx>
          <c:dLbls>
            <c:dLbl>
              <c:idx val="0"/>
              <c:layout>
                <c:manualLayout>
                  <c:x val="-1.2610271612342383E-3"/>
                  <c:y val="4.3066957102008099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99</a:t>
                    </a:r>
                    <a:r>
                      <a:rPr lang="ru-RU" b="1" i="0" baseline="0"/>
                      <a:t>,0%</a:t>
                    </a:r>
                    <a:endParaRPr lang="en-US" b="1" i="0" baseline="0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Лист1!$I$2</c:f>
              <c:numCache>
                <c:formatCode>General</c:formatCode>
                <c:ptCount val="1"/>
                <c:pt idx="0">
                  <c:v>99</c:v>
                </c:pt>
              </c:numCache>
            </c:numRef>
          </c:val>
        </c:ser>
        <c:ser>
          <c:idx val="9"/>
          <c:order val="9"/>
          <c:tx>
            <c:strRef>
              <c:f>Лист1!$J$1</c:f>
              <c:strCache>
                <c:ptCount val="1"/>
                <c:pt idx="0">
                  <c:v>Муниципальная услуга в сфере молодежной политики</c:v>
                </c:pt>
              </c:strCache>
            </c:strRef>
          </c:tx>
          <c:dLbls>
            <c:dLbl>
              <c:idx val="0"/>
              <c:layout>
                <c:manualLayout>
                  <c:x val="-2.522054322468477E-3"/>
                  <c:y val="3.7449527914789664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100</a:t>
                    </a:r>
                    <a:r>
                      <a:rPr lang="ru-RU" b="1" i="0" baseline="0"/>
                      <a:t>,0%</a:t>
                    </a:r>
                    <a:endParaRPr lang="en-US" b="1" i="0" baseline="0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Лист1!$J$2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0"/>
          <c:order val="10"/>
          <c:tx>
            <c:strRef>
              <c:f>Лист1!$K$1</c:f>
              <c:strCache>
                <c:ptCount val="1"/>
                <c:pt idx="0">
                  <c:v>Организация занятий физической культурой и массовым спортом</c:v>
                </c:pt>
              </c:strCache>
            </c:strRef>
          </c:tx>
          <c:dLbls>
            <c:dLbl>
              <c:idx val="0"/>
              <c:layout>
                <c:manualLayout>
                  <c:x val="-1.2610271612342387E-3"/>
                  <c:y val="3.7449527914789664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99</a:t>
                    </a:r>
                    <a:r>
                      <a:rPr lang="ru-RU" b="1" i="0" baseline="0"/>
                      <a:t>,0%</a:t>
                    </a:r>
                    <a:endParaRPr lang="en-US" b="1" i="0" baseline="0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Лист1!$K$2</c:f>
              <c:numCache>
                <c:formatCode>General</c:formatCode>
                <c:ptCount val="1"/>
                <c:pt idx="0">
                  <c:v>99</c:v>
                </c:pt>
              </c:numCache>
            </c:numRef>
          </c:val>
        </c:ser>
        <c:ser>
          <c:idx val="11"/>
          <c:order val="11"/>
          <c:tx>
            <c:strRef>
              <c:f>Лист1!$L$1</c:f>
              <c:strCache>
                <c:ptCount val="1"/>
                <c:pt idx="0">
                  <c:v>Муниципальная услуга в сфере ритуальных услуг</c:v>
                </c:pt>
              </c:strCache>
            </c:strRef>
          </c:tx>
          <c:dLbls>
            <c:dLbl>
              <c:idx val="0"/>
              <c:layout>
                <c:manualLayout>
                  <c:x val="-9.247425688667095E-17"/>
                  <c:y val="3.5577051519050183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100</a:t>
                    </a:r>
                    <a:r>
                      <a:rPr lang="ru-RU" b="1" i="0" baseline="0"/>
                      <a:t>,0%</a:t>
                    </a:r>
                    <a:endParaRPr lang="en-US" b="1" i="0" baseline="0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Лист1!$L$2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2"/>
          <c:order val="12"/>
          <c:tx>
            <c:strRef>
              <c:f>Лист1!$M$1</c:f>
              <c:strCache>
                <c:ptCount val="1"/>
                <c:pt idx="0">
                  <c:v>Содержание и эксплуатация инженерных систем, конструктивных элементов зданий, находящихся в муниципальной собственности, и прилегающей территории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3.7449527914789664E-2"/>
                </c:manualLayout>
              </c:layout>
              <c:tx>
                <c:rich>
                  <a:bodyPr/>
                  <a:lstStyle/>
                  <a:p>
                    <a:r>
                      <a:rPr lang="ru-RU" b="1" i="0" baseline="0"/>
                      <a:t>100,0%</a:t>
                    </a:r>
                    <a:endParaRPr lang="en-US" b="1" i="0" baseline="0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Лист1!$M$2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3"/>
          <c:order val="13"/>
          <c:tx>
            <c:strRef>
              <c:f>Лист1!$N$1</c:f>
              <c:strCache>
                <c:ptCount val="1"/>
                <c:pt idx="0">
                  <c:v>Содержание и ремонт уличного освещения города Ханты-Мансийска</c:v>
                </c:pt>
              </c:strCache>
            </c:strRef>
          </c:tx>
          <c:dLbls>
            <c:dLbl>
              <c:idx val="0"/>
              <c:layout>
                <c:manualLayout>
                  <c:x val="9.247425688667095E-17"/>
                  <c:y val="3.5577051519050183E-2"/>
                </c:manualLayout>
              </c:layout>
              <c:tx>
                <c:rich>
                  <a:bodyPr/>
                  <a:lstStyle/>
                  <a:p>
                    <a:r>
                      <a:rPr lang="en-US" b="1" i="0" baseline="0"/>
                      <a:t>100</a:t>
                    </a:r>
                    <a:r>
                      <a:rPr lang="ru-RU" b="1" i="0" baseline="0"/>
                      <a:t>,0%</a:t>
                    </a:r>
                    <a:endParaRPr lang="en-US" b="1" i="0" baseline="0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Лист1!$N$2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dLbls>
          <c:showVal val="1"/>
        </c:dLbls>
        <c:shape val="box"/>
        <c:axId val="186794752"/>
        <c:axId val="186796288"/>
        <c:axId val="0"/>
      </c:bar3DChart>
      <c:catAx>
        <c:axId val="186794752"/>
        <c:scaling>
          <c:orientation val="minMax"/>
        </c:scaling>
        <c:delete val="1"/>
        <c:axPos val="b"/>
        <c:numFmt formatCode="General" sourceLinked="1"/>
        <c:majorTickMark val="none"/>
        <c:tickLblPos val="nextTo"/>
        <c:crossAx val="186796288"/>
        <c:crosses val="autoZero"/>
        <c:auto val="1"/>
        <c:lblAlgn val="ctr"/>
        <c:lblOffset val="100"/>
      </c:catAx>
      <c:valAx>
        <c:axId val="186796288"/>
        <c:scaling>
          <c:orientation val="minMax"/>
        </c:scaling>
        <c:delete val="1"/>
        <c:axPos val="l"/>
        <c:numFmt formatCode="General" sourceLinked="1"/>
        <c:tickLblPos val="nextTo"/>
        <c:crossAx val="186794752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6.7100590220817895E-3"/>
          <c:y val="0.10714649046319769"/>
          <c:w val="0.90665072675378378"/>
          <c:h val="0.56410120690687293"/>
        </c:manualLayout>
      </c:layout>
      <c:overlay val="1"/>
      <c:txPr>
        <a:bodyPr/>
        <a:lstStyle/>
        <a:p>
          <a:pPr>
            <a:defRPr sz="1000" baseline="0"/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92AD2-7C02-4365-AC9B-4215FC418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управления финансами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gubanova</dc:creator>
  <cp:keywords/>
  <dc:description/>
  <cp:lastModifiedBy>katsura</cp:lastModifiedBy>
  <cp:revision>8</cp:revision>
  <cp:lastPrinted>2014-04-11T09:43:00Z</cp:lastPrinted>
  <dcterms:created xsi:type="dcterms:W3CDTF">2013-05-14T10:13:00Z</dcterms:created>
  <dcterms:modified xsi:type="dcterms:W3CDTF">2014-04-11T09:46:00Z</dcterms:modified>
</cp:coreProperties>
</file>